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02" w:rsidRDefault="00994FCA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cs="Arial"/>
          <w:b/>
          <w:sz w:val="42"/>
          <w:szCs w:val="42"/>
        </w:rPr>
      </w:pPr>
      <w:r>
        <w:rPr>
          <w:rFonts w:cs="Arial"/>
          <w:b/>
          <w:sz w:val="42"/>
          <w:szCs w:val="42"/>
        </w:rPr>
        <w:t>CE1D 2024</w:t>
      </w:r>
    </w:p>
    <w:p w:rsidR="007C6002" w:rsidRDefault="00994FCA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cs="Arial"/>
          <w:sz w:val="30"/>
          <w:szCs w:val="30"/>
        </w:rPr>
      </w:pPr>
      <w:r>
        <w:rPr>
          <w:rFonts w:cs="Arial"/>
          <w:sz w:val="30"/>
          <w:szCs w:val="30"/>
        </w:rPr>
        <w:t xml:space="preserve">Fiche d’information pour les enseignants de mathématiques </w:t>
      </w:r>
    </w:p>
    <w:p w:rsidR="007C6002" w:rsidRDefault="00994FCA">
      <w:r>
        <w:t xml:space="preserve"> </w:t>
      </w:r>
    </w:p>
    <w:p w:rsidR="007C6002" w:rsidRDefault="00994FCA">
      <w:pPr>
        <w:rPr>
          <w:lang w:val="fr-BE"/>
        </w:rPr>
      </w:pPr>
      <w:r>
        <w:rPr>
          <w:lang w:val="fr-BE"/>
        </w:rPr>
        <w:t xml:space="preserve">Les informations qui suivent sont extraites de la circulaire relative à l’organisation des épreuves externes menant à l’octroi du CE1D et du CESS. Vous pouvez retrouver la circulaire dans son intégralité sur </w:t>
      </w:r>
      <w:hyperlink r:id="rId8" w:history="1">
        <w:r>
          <w:rPr>
            <w:rStyle w:val="Lienhypertexte"/>
            <w:lang w:val="fr-BE"/>
          </w:rPr>
          <w:t>www.enseignement.be/ce1d</w:t>
        </w:r>
      </w:hyperlink>
      <w:r>
        <w:rPr>
          <w:lang w:val="fr-BE"/>
        </w:rPr>
        <w:t>, section « cadre légal ».</w:t>
      </w:r>
    </w:p>
    <w:p w:rsidR="007C6002" w:rsidRDefault="00994FCA">
      <w:pPr>
        <w:pStyle w:val="Titre1"/>
      </w:pPr>
      <w:r>
        <w:t>Planning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4"/>
        <w:gridCol w:w="911"/>
        <w:gridCol w:w="2019"/>
        <w:gridCol w:w="1773"/>
        <w:gridCol w:w="1767"/>
        <w:gridCol w:w="2176"/>
      </w:tblGrid>
      <w:tr w:rsidR="007C6002">
        <w:trPr>
          <w:cantSplit/>
          <w:trHeight w:val="20"/>
        </w:trPr>
        <w:tc>
          <w:tcPr>
            <w:tcW w:w="1008" w:type="pct"/>
            <w:gridSpan w:val="2"/>
            <w:tcBorders>
              <w:top w:val="nil"/>
              <w:left w:val="nil"/>
            </w:tcBorders>
          </w:tcPr>
          <w:p w:rsidR="007C6002" w:rsidRDefault="007C6002">
            <w:pPr>
              <w:keepLines/>
              <w:rPr>
                <w:sz w:val="20"/>
                <w:lang w:val="fr-BE"/>
              </w:rPr>
            </w:pPr>
          </w:p>
        </w:tc>
        <w:tc>
          <w:tcPr>
            <w:tcW w:w="1042" w:type="pct"/>
            <w:shd w:val="clear" w:color="auto" w:fill="808080" w:themeFill="background1" w:themeFillShade="80"/>
            <w:vAlign w:val="center"/>
          </w:tcPr>
          <w:p w:rsidR="007C6002" w:rsidRDefault="00994FCA">
            <w:pPr>
              <w:keepLines/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fr-BE"/>
              </w:rPr>
            </w:pPr>
            <w:r>
              <w:rPr>
                <w:b/>
                <w:color w:val="FFFFFF" w:themeColor="background1"/>
                <w:sz w:val="20"/>
                <w:szCs w:val="20"/>
                <w:lang w:val="fr-BE"/>
              </w:rPr>
              <w:t>Vendredi 21/06</w:t>
            </w:r>
          </w:p>
        </w:tc>
        <w:tc>
          <w:tcPr>
            <w:tcW w:w="915" w:type="pct"/>
            <w:shd w:val="clear" w:color="auto" w:fill="808080" w:themeFill="background1" w:themeFillShade="80"/>
            <w:vAlign w:val="center"/>
          </w:tcPr>
          <w:p w:rsidR="007C6002" w:rsidRDefault="00994FCA">
            <w:pPr>
              <w:keepLines/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fr-BE"/>
              </w:rPr>
            </w:pPr>
            <w:r>
              <w:rPr>
                <w:b/>
                <w:color w:val="FFFFFF" w:themeColor="background1"/>
                <w:sz w:val="20"/>
                <w:szCs w:val="20"/>
                <w:lang w:val="fr-BE"/>
              </w:rPr>
              <w:t>Lundi 24/06</w:t>
            </w:r>
          </w:p>
        </w:tc>
        <w:tc>
          <w:tcPr>
            <w:tcW w:w="912" w:type="pct"/>
            <w:shd w:val="clear" w:color="auto" w:fill="808080" w:themeFill="background1" w:themeFillShade="80"/>
            <w:vAlign w:val="center"/>
          </w:tcPr>
          <w:p w:rsidR="007C6002" w:rsidRDefault="00994FCA">
            <w:pPr>
              <w:keepLines/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fr-BE"/>
              </w:rPr>
            </w:pPr>
            <w:r>
              <w:rPr>
                <w:b/>
                <w:color w:val="FFFFFF" w:themeColor="background1"/>
                <w:sz w:val="20"/>
                <w:szCs w:val="20"/>
                <w:lang w:val="fr-BE"/>
              </w:rPr>
              <w:t>Mardi 25/06</w:t>
            </w:r>
          </w:p>
        </w:tc>
        <w:tc>
          <w:tcPr>
            <w:tcW w:w="1124" w:type="pct"/>
            <w:shd w:val="clear" w:color="auto" w:fill="808080" w:themeFill="background1" w:themeFillShade="80"/>
            <w:vAlign w:val="center"/>
          </w:tcPr>
          <w:p w:rsidR="007C6002" w:rsidRDefault="00994FCA">
            <w:pPr>
              <w:keepLines/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fr-BE"/>
              </w:rPr>
            </w:pPr>
            <w:r>
              <w:rPr>
                <w:b/>
                <w:color w:val="FFFFFF" w:themeColor="background1"/>
                <w:sz w:val="20"/>
                <w:szCs w:val="20"/>
                <w:lang w:val="fr-BE"/>
              </w:rPr>
              <w:t>Mercredi 26/06</w:t>
            </w:r>
          </w:p>
        </w:tc>
      </w:tr>
      <w:tr w:rsidR="007C6002">
        <w:trPr>
          <w:cantSplit/>
          <w:trHeight w:val="567"/>
        </w:trPr>
        <w:tc>
          <w:tcPr>
            <w:tcW w:w="538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  <w:r>
              <w:rPr>
                <w:b/>
                <w:sz w:val="20"/>
                <w:szCs w:val="20"/>
                <w:lang w:val="fr-BE"/>
              </w:rPr>
              <w:t>Matinée</w:t>
            </w:r>
          </w:p>
        </w:tc>
        <w:tc>
          <w:tcPr>
            <w:tcW w:w="470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  <w:r>
              <w:rPr>
                <w:b/>
                <w:sz w:val="20"/>
                <w:szCs w:val="20"/>
                <w:lang w:val="fr-BE"/>
              </w:rPr>
              <w:t>100 min</w:t>
            </w:r>
          </w:p>
        </w:tc>
        <w:tc>
          <w:tcPr>
            <w:tcW w:w="1042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Langues modernes</w:t>
            </w:r>
            <w:proofErr w:type="gramStart"/>
            <w:r>
              <w:rPr>
                <w:sz w:val="20"/>
                <w:szCs w:val="20"/>
                <w:lang w:val="fr-BE"/>
              </w:rPr>
              <w:t>,</w:t>
            </w:r>
            <w:proofErr w:type="gramEnd"/>
            <w:r>
              <w:rPr>
                <w:sz w:val="20"/>
                <w:szCs w:val="20"/>
                <w:lang w:val="fr-BE"/>
              </w:rPr>
              <w:br/>
              <w:t>partie écrite</w:t>
            </w:r>
          </w:p>
        </w:tc>
        <w:tc>
          <w:tcPr>
            <w:tcW w:w="915" w:type="pc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Mathématiques</w:t>
            </w:r>
            <w:proofErr w:type="gramStart"/>
            <w:r>
              <w:rPr>
                <w:sz w:val="20"/>
                <w:szCs w:val="20"/>
                <w:lang w:val="fr-BE"/>
              </w:rPr>
              <w:t>,</w:t>
            </w:r>
            <w:proofErr w:type="gramEnd"/>
            <w:r>
              <w:rPr>
                <w:sz w:val="20"/>
                <w:szCs w:val="20"/>
                <w:lang w:val="fr-BE"/>
              </w:rPr>
              <w:br/>
              <w:t>Livret 1 (15 min)</w:t>
            </w:r>
          </w:p>
        </w:tc>
        <w:tc>
          <w:tcPr>
            <w:tcW w:w="912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Français</w:t>
            </w:r>
          </w:p>
        </w:tc>
        <w:tc>
          <w:tcPr>
            <w:tcW w:w="1124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Sciences</w:t>
            </w:r>
          </w:p>
        </w:tc>
      </w:tr>
      <w:tr w:rsidR="007C6002">
        <w:trPr>
          <w:cantSplit/>
          <w:trHeight w:val="20"/>
        </w:trPr>
        <w:tc>
          <w:tcPr>
            <w:tcW w:w="538" w:type="pct"/>
            <w:vMerge/>
          </w:tcPr>
          <w:p w:rsidR="007C6002" w:rsidRDefault="007C6002">
            <w:pPr>
              <w:keepLines/>
              <w:rPr>
                <w:b/>
                <w:sz w:val="20"/>
                <w:szCs w:val="20"/>
                <w:lang w:val="fr-BE"/>
              </w:rPr>
            </w:pPr>
          </w:p>
        </w:tc>
        <w:tc>
          <w:tcPr>
            <w:tcW w:w="470" w:type="pct"/>
            <w:vMerge/>
            <w:vAlign w:val="center"/>
          </w:tcPr>
          <w:p w:rsidR="007C6002" w:rsidRDefault="007C6002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</w:p>
        </w:tc>
        <w:tc>
          <w:tcPr>
            <w:tcW w:w="1042" w:type="pct"/>
            <w:vMerge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915" w:type="pc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Mathématiques</w:t>
            </w:r>
            <w:proofErr w:type="gramStart"/>
            <w:r>
              <w:rPr>
                <w:sz w:val="20"/>
                <w:szCs w:val="20"/>
                <w:lang w:val="fr-BE"/>
              </w:rPr>
              <w:t>,</w:t>
            </w:r>
            <w:proofErr w:type="gramEnd"/>
            <w:r>
              <w:rPr>
                <w:sz w:val="20"/>
                <w:szCs w:val="20"/>
                <w:lang w:val="fr-BE"/>
              </w:rPr>
              <w:br/>
              <w:t>Livret 2 (85 min)</w:t>
            </w:r>
          </w:p>
        </w:tc>
        <w:tc>
          <w:tcPr>
            <w:tcW w:w="912" w:type="pct"/>
            <w:vMerge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1124" w:type="pct"/>
            <w:vMerge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</w:tr>
      <w:tr w:rsidR="007C6002">
        <w:trPr>
          <w:cantSplit/>
          <w:trHeight w:val="57"/>
        </w:trPr>
        <w:tc>
          <w:tcPr>
            <w:tcW w:w="538" w:type="pct"/>
            <w:vMerge/>
          </w:tcPr>
          <w:p w:rsidR="007C6002" w:rsidRDefault="007C6002">
            <w:pPr>
              <w:keepLines/>
              <w:rPr>
                <w:b/>
                <w:sz w:val="20"/>
                <w:szCs w:val="20"/>
                <w:lang w:val="fr-BE"/>
              </w:rPr>
            </w:pPr>
          </w:p>
        </w:tc>
        <w:tc>
          <w:tcPr>
            <w:tcW w:w="4462" w:type="pct"/>
            <w:gridSpan w:val="5"/>
            <w:shd w:val="clear" w:color="auto" w:fill="BFBFBF" w:themeFill="background1" w:themeFillShade="BF"/>
            <w:vAlign w:val="center"/>
          </w:tcPr>
          <w:p w:rsidR="007C6002" w:rsidRDefault="00994FCA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  <w:r>
              <w:rPr>
                <w:b/>
                <w:sz w:val="20"/>
                <w:szCs w:val="20"/>
                <w:lang w:val="fr-BE"/>
              </w:rPr>
              <w:t>Pause</w:t>
            </w:r>
          </w:p>
        </w:tc>
      </w:tr>
      <w:tr w:rsidR="007C6002">
        <w:trPr>
          <w:cantSplit/>
          <w:trHeight w:val="558"/>
        </w:trPr>
        <w:tc>
          <w:tcPr>
            <w:tcW w:w="538" w:type="pct"/>
            <w:vMerge/>
          </w:tcPr>
          <w:p w:rsidR="007C6002" w:rsidRDefault="007C6002">
            <w:pPr>
              <w:keepLines/>
              <w:rPr>
                <w:b/>
                <w:sz w:val="20"/>
                <w:szCs w:val="20"/>
                <w:lang w:val="fr-BE"/>
              </w:rPr>
            </w:pPr>
          </w:p>
        </w:tc>
        <w:tc>
          <w:tcPr>
            <w:tcW w:w="470" w:type="pct"/>
            <w:vAlign w:val="center"/>
          </w:tcPr>
          <w:p w:rsidR="007C6002" w:rsidRDefault="00994FCA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  <w:r>
              <w:rPr>
                <w:b/>
                <w:sz w:val="20"/>
                <w:szCs w:val="20"/>
                <w:lang w:val="fr-BE"/>
              </w:rPr>
              <w:t>50 min</w:t>
            </w:r>
          </w:p>
        </w:tc>
        <w:tc>
          <w:tcPr>
            <w:tcW w:w="1042" w:type="pc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Langues modernes</w:t>
            </w:r>
            <w:proofErr w:type="gramStart"/>
            <w:r>
              <w:rPr>
                <w:sz w:val="20"/>
                <w:szCs w:val="20"/>
                <w:lang w:val="fr-BE"/>
              </w:rPr>
              <w:t>,</w:t>
            </w:r>
            <w:proofErr w:type="gramEnd"/>
            <w:r>
              <w:rPr>
                <w:sz w:val="20"/>
                <w:szCs w:val="20"/>
                <w:lang w:val="fr-BE"/>
              </w:rPr>
              <w:br/>
              <w:t>partie écrite</w:t>
            </w:r>
          </w:p>
        </w:tc>
        <w:tc>
          <w:tcPr>
            <w:tcW w:w="915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Mathématiques</w:t>
            </w:r>
            <w:r>
              <w:rPr>
                <w:sz w:val="20"/>
                <w:szCs w:val="20"/>
                <w:lang w:val="fr-BE"/>
              </w:rPr>
              <w:br/>
              <w:t>Livret 3</w:t>
            </w:r>
          </w:p>
        </w:tc>
        <w:tc>
          <w:tcPr>
            <w:tcW w:w="912" w:type="pct"/>
            <w:vMerge w:val="restar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Français</w:t>
            </w:r>
          </w:p>
        </w:tc>
        <w:tc>
          <w:tcPr>
            <w:tcW w:w="1124" w:type="pct"/>
            <w:vAlign w:val="center"/>
          </w:tcPr>
          <w:p w:rsidR="007C6002" w:rsidRDefault="00994FCA">
            <w:pPr>
              <w:keepLines/>
              <w:jc w:val="center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>Sciences</w:t>
            </w:r>
          </w:p>
        </w:tc>
      </w:tr>
      <w:tr w:rsidR="007C6002">
        <w:trPr>
          <w:cantSplit/>
          <w:trHeight w:val="567"/>
        </w:trPr>
        <w:tc>
          <w:tcPr>
            <w:tcW w:w="538" w:type="pct"/>
            <w:vMerge/>
          </w:tcPr>
          <w:p w:rsidR="007C6002" w:rsidRDefault="007C6002">
            <w:pPr>
              <w:keepLines/>
              <w:rPr>
                <w:b/>
                <w:sz w:val="20"/>
                <w:szCs w:val="20"/>
                <w:lang w:val="fr-BE"/>
              </w:rPr>
            </w:pPr>
          </w:p>
        </w:tc>
        <w:tc>
          <w:tcPr>
            <w:tcW w:w="470" w:type="pct"/>
            <w:vAlign w:val="center"/>
          </w:tcPr>
          <w:p w:rsidR="007C6002" w:rsidRDefault="00994FCA">
            <w:pPr>
              <w:keepLines/>
              <w:jc w:val="center"/>
              <w:rPr>
                <w:b/>
                <w:sz w:val="20"/>
                <w:szCs w:val="20"/>
                <w:lang w:val="fr-BE"/>
              </w:rPr>
            </w:pPr>
            <w:r>
              <w:rPr>
                <w:b/>
                <w:sz w:val="20"/>
                <w:szCs w:val="20"/>
                <w:lang w:val="fr-BE"/>
              </w:rPr>
              <w:t>50 min</w:t>
            </w:r>
          </w:p>
        </w:tc>
        <w:tc>
          <w:tcPr>
            <w:tcW w:w="1042" w:type="pct"/>
            <w:shd w:val="clear" w:color="auto" w:fill="D9D9D9" w:themeFill="background1" w:themeFillShade="D9"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915" w:type="pct"/>
            <w:vMerge/>
            <w:shd w:val="clear" w:color="auto" w:fill="FFFFFF" w:themeFill="background1"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912" w:type="pct"/>
            <w:vMerge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  <w:tc>
          <w:tcPr>
            <w:tcW w:w="1124" w:type="pct"/>
            <w:shd w:val="clear" w:color="auto" w:fill="D9D9D9" w:themeFill="background1" w:themeFillShade="D9"/>
            <w:vAlign w:val="center"/>
          </w:tcPr>
          <w:p w:rsidR="007C6002" w:rsidRDefault="007C6002">
            <w:pPr>
              <w:keepLines/>
              <w:jc w:val="center"/>
              <w:rPr>
                <w:sz w:val="20"/>
                <w:szCs w:val="20"/>
                <w:lang w:val="fr-BE"/>
              </w:rPr>
            </w:pPr>
          </w:p>
        </w:tc>
      </w:tr>
      <w:tr w:rsidR="007C6002">
        <w:trPr>
          <w:cantSplit/>
          <w:trHeight w:val="20"/>
        </w:trPr>
        <w:tc>
          <w:tcPr>
            <w:tcW w:w="5000" w:type="pct"/>
            <w:gridSpan w:val="6"/>
            <w:vAlign w:val="center"/>
          </w:tcPr>
          <w:p w:rsidR="007C6002" w:rsidRDefault="00994FCA">
            <w:pPr>
              <w:keepLines/>
              <w:spacing w:before="120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  <w:lang w:val="fr-BE"/>
              </w:rPr>
              <w:t xml:space="preserve">La partie orale de l’épreuve de langues modernes peut avoir lieu </w:t>
            </w:r>
            <w:r>
              <w:rPr>
                <w:b/>
                <w:sz w:val="20"/>
                <w:szCs w:val="20"/>
                <w:lang w:eastAsia="fr-BE"/>
              </w:rPr>
              <w:t>entre le vendredi 21 et le jeudi 27 juin</w:t>
            </w:r>
            <w:r>
              <w:rPr>
                <w:sz w:val="20"/>
                <w:szCs w:val="20"/>
                <w:lang w:val="fr-BE"/>
              </w:rPr>
              <w:t xml:space="preserve">, à la libre convenance des écoles. </w:t>
            </w:r>
          </w:p>
        </w:tc>
      </w:tr>
    </w:tbl>
    <w:p w:rsidR="007C6002" w:rsidRDefault="007C6002"/>
    <w:p w:rsidR="007C6002" w:rsidRDefault="00994FCA">
      <w:r>
        <w:t xml:space="preserve">L’épreuve </w:t>
      </w:r>
      <w:r>
        <w:t>commence entre 8h15 et 8h45.</w:t>
      </w:r>
    </w:p>
    <w:tbl>
      <w:tblPr>
        <w:tblStyle w:val="Grilledutableau"/>
        <w:tblW w:w="4983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8222"/>
      </w:tblGrid>
      <w:tr w:rsidR="007C6002">
        <w:trPr>
          <w:trHeight w:val="1191"/>
        </w:trPr>
        <w:tc>
          <w:tcPr>
            <w:tcW w:w="725" w:type="pct"/>
            <w:shd w:val="clear" w:color="auto" w:fill="FFFFFF" w:themeFill="background1"/>
          </w:tcPr>
          <w:p w:rsidR="007C6002" w:rsidRDefault="00994FCA">
            <w:r>
              <w:rPr>
                <w:noProof/>
                <w:lang w:val="fr-BE"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54149</wp:posOffset>
                  </wp:positionH>
                  <wp:positionV relativeFrom="paragraph">
                    <wp:posOffset>75046</wp:posOffset>
                  </wp:positionV>
                  <wp:extent cx="712470" cy="712470"/>
                  <wp:effectExtent l="0" t="0" r="0" b="0"/>
                  <wp:wrapNone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75" w:type="pct"/>
            <w:shd w:val="clear" w:color="auto" w:fill="FFFFFF" w:themeFill="background1"/>
          </w:tcPr>
          <w:p w:rsidR="007C6002" w:rsidRDefault="00994FCA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durée de la passation de l'épreuve de mathématiques est fixée à </w:t>
            </w:r>
            <w:r>
              <w:rPr>
                <w:b/>
                <w:sz w:val="20"/>
                <w:szCs w:val="20"/>
              </w:rPr>
              <w:t>200 minutes effectives</w:t>
            </w:r>
            <w:r>
              <w:rPr>
                <w:sz w:val="20"/>
                <w:szCs w:val="20"/>
              </w:rPr>
              <w:t>.</w:t>
            </w:r>
          </w:p>
          <w:p w:rsidR="007C6002" w:rsidRDefault="00994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Elle est, pour la première fois cette année, répartie en </w:t>
            </w:r>
            <w:r>
              <w:rPr>
                <w:b/>
                <w:sz w:val="20"/>
                <w:szCs w:val="20"/>
              </w:rPr>
              <w:t>trois blocs</w:t>
            </w:r>
            <w:r>
              <w:rPr>
                <w:sz w:val="20"/>
                <w:szCs w:val="20"/>
              </w:rPr>
              <w:t xml:space="preserve"> :</w:t>
            </w:r>
          </w:p>
          <w:p w:rsidR="007C6002" w:rsidRDefault="00994FCA">
            <w:pPr>
              <w:pStyle w:val="Listepuce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 </w:t>
            </w:r>
            <w:r>
              <w:rPr>
                <w:b/>
                <w:sz w:val="20"/>
                <w:szCs w:val="20"/>
              </w:rPr>
              <w:t>premier bloc</w:t>
            </w:r>
            <w:r>
              <w:rPr>
                <w:sz w:val="20"/>
                <w:szCs w:val="20"/>
              </w:rPr>
              <w:t xml:space="preserve">, d'une durée de </w:t>
            </w:r>
            <w:r>
              <w:rPr>
                <w:b/>
                <w:sz w:val="20"/>
                <w:szCs w:val="20"/>
              </w:rPr>
              <w:t>15 minutes</w:t>
            </w:r>
            <w:r>
              <w:rPr>
                <w:sz w:val="20"/>
                <w:szCs w:val="20"/>
              </w:rPr>
              <w:t xml:space="preserve"> ;</w:t>
            </w:r>
          </w:p>
          <w:p w:rsidR="007C6002" w:rsidRDefault="00994FCA">
            <w:pPr>
              <w:pStyle w:val="Listepuce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 </w:t>
            </w:r>
            <w:r>
              <w:rPr>
                <w:b/>
                <w:sz w:val="20"/>
                <w:szCs w:val="20"/>
              </w:rPr>
              <w:t>deuxième bloc</w:t>
            </w:r>
            <w:r>
              <w:rPr>
                <w:sz w:val="20"/>
                <w:szCs w:val="20"/>
              </w:rPr>
              <w:t xml:space="preserve">, d'une durée de </w:t>
            </w:r>
            <w:r>
              <w:rPr>
                <w:b/>
                <w:sz w:val="20"/>
                <w:szCs w:val="20"/>
              </w:rPr>
              <w:t>85 minutes</w:t>
            </w:r>
            <w:r>
              <w:rPr>
                <w:sz w:val="20"/>
                <w:szCs w:val="20"/>
              </w:rPr>
              <w:t xml:space="preserve"> ;</w:t>
            </w:r>
          </w:p>
          <w:p w:rsidR="007C6002" w:rsidRDefault="00994FCA">
            <w:pPr>
              <w:pStyle w:val="Listepuce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 </w:t>
            </w:r>
            <w:r>
              <w:rPr>
                <w:b/>
                <w:sz w:val="20"/>
                <w:szCs w:val="20"/>
              </w:rPr>
              <w:t>troisième bloc</w:t>
            </w:r>
            <w:r>
              <w:rPr>
                <w:sz w:val="20"/>
                <w:szCs w:val="20"/>
              </w:rPr>
              <w:t xml:space="preserve">, d'une durée de </w:t>
            </w:r>
            <w:r>
              <w:rPr>
                <w:b/>
                <w:sz w:val="20"/>
                <w:szCs w:val="20"/>
              </w:rPr>
              <w:t>100 minutes</w:t>
            </w:r>
            <w:r>
              <w:rPr>
                <w:sz w:val="20"/>
                <w:szCs w:val="20"/>
              </w:rPr>
              <w:t>.</w:t>
            </w:r>
          </w:p>
          <w:p w:rsidR="007C6002" w:rsidRDefault="00994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 deuxième et troisième blocs sont entrecoupés d'une pause.</w:t>
            </w:r>
          </w:p>
          <w:p w:rsidR="007C6002" w:rsidRDefault="00994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L'épreuve comporte donc trois livrets, un par bloc.</w:t>
            </w:r>
          </w:p>
          <w:p w:rsidR="007C6002" w:rsidRDefault="00994FCA">
            <w:r>
              <w:rPr>
                <w:sz w:val="20"/>
                <w:szCs w:val="20"/>
              </w:rPr>
              <w:t xml:space="preserve">Les élèves qui auraient terminé le premier livret endéans les 15 </w:t>
            </w:r>
            <w:r>
              <w:rPr>
                <w:sz w:val="20"/>
                <w:szCs w:val="20"/>
              </w:rPr>
              <w:t>minutes prévues pourront passer directement au deuxième livret.</w:t>
            </w:r>
          </w:p>
        </w:tc>
      </w:tr>
    </w:tbl>
    <w:p w:rsidR="007C6002" w:rsidRDefault="00994FCA">
      <w:pPr>
        <w:pStyle w:val="Titre1"/>
      </w:pPr>
      <w:r>
        <w:lastRenderedPageBreak/>
        <w:t>Contenu et informations spécifiques à l’épreuve de mathématiques</w:t>
      </w:r>
    </w:p>
    <w:p w:rsidR="007C6002" w:rsidRDefault="00994FCA">
      <w:pPr>
        <w:rPr>
          <w:lang w:val="fr-BE" w:eastAsia="en-US"/>
        </w:rPr>
      </w:pPr>
      <w:r>
        <w:t xml:space="preserve">La ventilation des questions en fonction des domaines sera similaire à celle des années précédentes : environ 40 % des points </w:t>
      </w:r>
      <w:r>
        <w:t>en « Nombres », 30 % en « Géométrie », 15 % en « Grandeurs » et 15 % en « Traitement de données ».</w:t>
      </w:r>
    </w:p>
    <w:p w:rsidR="007C6002" w:rsidRDefault="00994FCA">
      <w:r>
        <w:t>Il en est de même pour la ventilation en fonction des types de questionnement : environ 60 % en ressources, 30 % en tâches simples et complexes, 10 % en just</w:t>
      </w:r>
      <w:r>
        <w:t>ification.</w:t>
      </w:r>
    </w:p>
    <w:p w:rsidR="007C6002" w:rsidRDefault="00994FCA">
      <w:r>
        <w:t xml:space="preserve">Chaque élève devra disposer des outils suivants : </w:t>
      </w:r>
      <w:r>
        <w:rPr>
          <w:b/>
        </w:rPr>
        <w:t>une calculatrice, une équerre, un rapporteur, un compas, une latte, un crayon noir, une gomme, des crayons de couleur</w:t>
      </w:r>
      <w:r>
        <w:t xml:space="preserve">. Les élèves qui le souhaitent peuvent aussi disposer de feutres fluo et d’un </w:t>
      </w:r>
      <w:r>
        <w:t>casque anti-bruit.</w:t>
      </w:r>
    </w:p>
    <w:p w:rsidR="00994FCA" w:rsidRDefault="00994FCA">
      <w:r>
        <w:rPr>
          <w:color w:val="000000"/>
        </w:rPr>
        <w:t>La présentation des questions est identique à celle utilisée dans les épreuves des années précédentes.</w:t>
      </w:r>
    </w:p>
    <w:tbl>
      <w:tblPr>
        <w:tblStyle w:val="Grilledutableau"/>
        <w:tblW w:w="4983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056"/>
      </w:tblGrid>
      <w:tr w:rsidR="007C6002">
        <w:trPr>
          <w:trHeight w:val="1191"/>
        </w:trPr>
        <w:tc>
          <w:tcPr>
            <w:tcW w:w="811" w:type="pct"/>
            <w:shd w:val="clear" w:color="auto" w:fill="FFFFFF" w:themeFill="background1"/>
            <w:vAlign w:val="bottom"/>
          </w:tcPr>
          <w:p w:rsidR="007C6002" w:rsidRDefault="00994FCA">
            <w:pPr>
              <w:rPr>
                <w:sz w:val="20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12470" cy="71247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9" w:type="pct"/>
            <w:shd w:val="clear" w:color="auto" w:fill="FFFFFF" w:themeFill="background1"/>
            <w:vAlign w:val="center"/>
          </w:tcPr>
          <w:p w:rsidR="007C6002" w:rsidRDefault="00994F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Utilisation de la calculatrice pour tous les élèves, avec ou sans besoins spécifiques</w:t>
            </w:r>
          </w:p>
        </w:tc>
      </w:tr>
      <w:tr w:rsidR="007C6002">
        <w:trPr>
          <w:trHeight w:val="1191"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:rsidR="007C6002" w:rsidRDefault="00994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L’épreuve de mathématiques est répartie en trois livrets, de la manière suivante :</w:t>
            </w:r>
          </w:p>
          <w:p w:rsidR="007C6002" w:rsidRDefault="00994FCA">
            <w:pPr>
              <w:pStyle w:val="Listepuces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</w:rPr>
              <w:t xml:space="preserve">le Livret 1 pour lequel la calculatrice n’est </w:t>
            </w:r>
            <w:r w:rsidRPr="00994FCA">
              <w:rPr>
                <w:b/>
                <w:sz w:val="20"/>
                <w:szCs w:val="20"/>
              </w:rPr>
              <w:t>pas autorisée</w:t>
            </w:r>
            <w:r>
              <w:rPr>
                <w:sz w:val="20"/>
                <w:szCs w:val="20"/>
              </w:rPr>
              <w:t xml:space="preserve">. </w:t>
            </w:r>
          </w:p>
          <w:p w:rsidR="007C6002" w:rsidRDefault="00994FCA">
            <w:pPr>
              <w:pStyle w:val="Listepuces"/>
              <w:rPr>
                <w:sz w:val="20"/>
                <w:szCs w:val="20"/>
                <w:lang w:val="fr-BE"/>
              </w:rPr>
            </w:pPr>
            <w:r>
              <w:rPr>
                <w:sz w:val="20"/>
                <w:szCs w:val="20"/>
              </w:rPr>
              <w:t>Cette partie représente au maximum 15 % des points de l’épreuve et comporte uniquement des questions du domaine « Nombres ». L’utilisation de la calculatrice entraverait l’évaluation des compétences de calcul concernées (questions issues des lignes de comp</w:t>
            </w:r>
            <w:r>
              <w:rPr>
                <w:sz w:val="20"/>
                <w:szCs w:val="20"/>
              </w:rPr>
              <w:t>étences N1 – N2 – N31) ;</w:t>
            </w:r>
          </w:p>
          <w:p w:rsidR="007C6002" w:rsidRDefault="00994FCA">
            <w:pPr>
              <w:pStyle w:val="Listepuces"/>
              <w:rPr>
                <w:sz w:val="20"/>
                <w:lang w:val="fr-BE"/>
              </w:rPr>
            </w:pPr>
            <w:r>
              <w:rPr>
                <w:sz w:val="20"/>
                <w:szCs w:val="20"/>
              </w:rPr>
              <w:t xml:space="preserve">le Livret 2 et le Livret 3 pour lesquels la calculatrice est </w:t>
            </w:r>
            <w:r w:rsidRPr="00994FCA">
              <w:rPr>
                <w:b/>
                <w:sz w:val="20"/>
                <w:szCs w:val="20"/>
              </w:rPr>
              <w:t>autorisée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7C6002" w:rsidRDefault="007C6002"/>
    <w:tbl>
      <w:tblPr>
        <w:tblStyle w:val="Grilledutableau"/>
        <w:tblW w:w="4983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8222"/>
      </w:tblGrid>
      <w:tr w:rsidR="007C6002">
        <w:trPr>
          <w:trHeight w:val="1250"/>
        </w:trPr>
        <w:tc>
          <w:tcPr>
            <w:tcW w:w="725" w:type="pct"/>
            <w:shd w:val="clear" w:color="auto" w:fill="FFFFFF" w:themeFill="background1"/>
            <w:vAlign w:val="bottom"/>
          </w:tcPr>
          <w:p w:rsidR="007C6002" w:rsidRDefault="00994FCA">
            <w:r>
              <w:rPr>
                <w:noProof/>
                <w:lang w:val="fr-BE" w:eastAsia="fr-BE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-514350</wp:posOffset>
                  </wp:positionV>
                  <wp:extent cx="712470" cy="712470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75" w:type="pct"/>
            <w:shd w:val="clear" w:color="auto" w:fill="FFFFFF" w:themeFill="background1"/>
            <w:vAlign w:val="center"/>
          </w:tcPr>
          <w:p w:rsidR="007C6002" w:rsidRDefault="00994FCA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Relances attentionnelles lors de la surveillance des épreuves</w:t>
            </w:r>
          </w:p>
          <w:p w:rsidR="007C6002" w:rsidRDefault="00994F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Lors de la passation des épreuves, l’enseignant surveillant peut recentrer l’élève sur sa </w:t>
            </w:r>
            <w:r>
              <w:rPr>
                <w:sz w:val="20"/>
                <w:szCs w:val="20"/>
              </w:rPr>
              <w:t>tâche en relançant son attention.</w:t>
            </w:r>
          </w:p>
        </w:tc>
      </w:tr>
    </w:tbl>
    <w:p w:rsidR="007C6002" w:rsidRDefault="007C6002"/>
    <w:p w:rsidR="007C6002" w:rsidRDefault="00994FCA">
      <w:pPr>
        <w:rPr>
          <w:b/>
        </w:rPr>
      </w:pPr>
      <w:r>
        <w:rPr>
          <w:b/>
        </w:rPr>
        <w:t>Note concernant les élèves primo-arrivants</w:t>
      </w:r>
    </w:p>
    <w:p w:rsidR="007C6002" w:rsidRDefault="00994FCA">
      <w:pPr>
        <w:spacing w:before="100" w:beforeAutospacing="1"/>
        <w:rPr>
          <w:rFonts w:eastAsiaTheme="minorHAnsi"/>
          <w:iCs/>
        </w:rPr>
      </w:pPr>
      <w:r>
        <w:rPr>
          <w:rFonts w:eastAsiaTheme="minorHAnsi"/>
          <w:iCs/>
        </w:rPr>
        <w:t xml:space="preserve">Lors de la passation de l’épreuve CE1D ou CESS, l’élève primo-arrivant peut disposer des aménagements suivants : </w:t>
      </w:r>
    </w:p>
    <w:p w:rsidR="007C6002" w:rsidRDefault="00994FCA">
      <w:pPr>
        <w:pStyle w:val="Paragraphedeliste"/>
        <w:widowControl/>
        <w:numPr>
          <w:ilvl w:val="1"/>
          <w:numId w:val="22"/>
        </w:numPr>
        <w:suppressAutoHyphens/>
        <w:spacing w:after="100" w:afterAutospacing="1" w:line="240" w:lineRule="auto"/>
        <w:ind w:left="703" w:hanging="357"/>
        <w:rPr>
          <w:rFonts w:eastAsiaTheme="minorHAnsi"/>
          <w:b/>
          <w:lang w:val="fr-BE"/>
        </w:rPr>
      </w:pPr>
      <w:r>
        <w:rPr>
          <w:lang w:val="fr-BE"/>
        </w:rPr>
        <w:t>utilisation d’un dictionnaire français-langue maternelle ou d’u</w:t>
      </w:r>
      <w:r>
        <w:rPr>
          <w:lang w:val="fr-BE"/>
        </w:rPr>
        <w:t>n logiciel de traduction ne requérant pas de connexion internet ;</w:t>
      </w:r>
    </w:p>
    <w:p w:rsidR="007C6002" w:rsidRDefault="00994FCA">
      <w:pPr>
        <w:pStyle w:val="Paragraphedeliste"/>
        <w:widowControl/>
        <w:numPr>
          <w:ilvl w:val="1"/>
          <w:numId w:val="22"/>
        </w:numPr>
        <w:suppressAutoHyphens/>
        <w:spacing w:after="100" w:afterAutospacing="1" w:line="240" w:lineRule="auto"/>
        <w:ind w:left="703" w:hanging="357"/>
        <w:rPr>
          <w:rFonts w:eastAsiaTheme="minorHAnsi"/>
          <w:b/>
        </w:rPr>
      </w:pPr>
      <w:proofErr w:type="gramStart"/>
      <w:r>
        <w:t>temps</w:t>
      </w:r>
      <w:proofErr w:type="gramEnd"/>
      <w:r>
        <w:t xml:space="preserve"> </w:t>
      </w:r>
      <w:proofErr w:type="spellStart"/>
      <w:r>
        <w:t>supplémentaire</w:t>
      </w:r>
      <w:proofErr w:type="spellEnd"/>
      <w:r>
        <w:t>. </w:t>
      </w:r>
    </w:p>
    <w:p w:rsidR="007C6002" w:rsidRDefault="00994FCA">
      <w:pPr>
        <w:suppressAutoHyphens/>
        <w:spacing w:after="100" w:afterAutospacing="1" w:line="240" w:lineRule="auto"/>
        <w:rPr>
          <w:rFonts w:eastAsiaTheme="minorHAnsi"/>
          <w:b/>
        </w:rPr>
      </w:pPr>
      <w:r>
        <w:rPr>
          <w:rFonts w:eastAsiaTheme="minorHAnsi"/>
          <w:b/>
        </w:rPr>
        <w:t>Aide à la correction des tâches complexes</w:t>
      </w:r>
    </w:p>
    <w:p w:rsidR="007C6002" w:rsidRDefault="00994FCA">
      <w:r>
        <w:t>Le groupe de travail CE1D Mathématiques propose aux enseignants un document numérique, non contraignant, intitulé « Aide à la</w:t>
      </w:r>
      <w:r>
        <w:t xml:space="preserve"> correction des tâches complexes ».</w:t>
      </w:r>
    </w:p>
    <w:p w:rsidR="007C6002" w:rsidRDefault="00994FCA">
      <w:r>
        <w:t xml:space="preserve">Il a été conçu au départ de productions </w:t>
      </w:r>
      <w:proofErr w:type="spellStart"/>
      <w:r>
        <w:t>anonymisées</w:t>
      </w:r>
      <w:proofErr w:type="spellEnd"/>
      <w:r>
        <w:t xml:space="preserve"> d’élèves, issues du CE1D de juin 2022. Il devrait permettre aux professeurs de mieux appréhender la répartition des points de la démarche et de la justesse, particulièr</w:t>
      </w:r>
      <w:r>
        <w:t>ement dans le cas d’un raisonnement de l’élève différent de celui prévu dans le guide de correction. Un autre objectif est de tendre à plus d’équité encore au niveau des corrections des tâches complexes.</w:t>
      </w:r>
    </w:p>
    <w:p w:rsidR="007C6002" w:rsidRDefault="00994FCA">
      <w:r>
        <w:t xml:space="preserve">Ce document est disponible sur e-classe </w:t>
      </w:r>
      <w:hyperlink r:id="rId10" w:history="1">
        <w:r>
          <w:rPr>
            <w:rStyle w:val="Lienhypertexte"/>
          </w:rPr>
          <w:t>en cliquant sur ce lien</w:t>
        </w:r>
      </w:hyperlink>
      <w:r>
        <w:t>.</w:t>
      </w:r>
    </w:p>
    <w:p w:rsidR="007C6002" w:rsidRDefault="00994FCA">
      <w:pPr>
        <w:pStyle w:val="Titre1"/>
      </w:pPr>
      <w:r>
        <w:lastRenderedPageBreak/>
        <w:t>Documents pour les enseignants</w:t>
      </w:r>
    </w:p>
    <w:p w:rsidR="007C6002" w:rsidRDefault="00994FCA">
      <w:r>
        <w:t xml:space="preserve">La direction vous transmettra : </w:t>
      </w:r>
      <w:bookmarkStart w:id="0" w:name="_GoBack"/>
      <w:bookmarkEnd w:id="0"/>
    </w:p>
    <w:p w:rsidR="007C6002" w:rsidRDefault="00994FCA">
      <w:pPr>
        <w:pStyle w:val="Listepuces"/>
      </w:pPr>
      <w:r>
        <w:rPr>
          <w:b/>
        </w:rPr>
        <w:t>le 17 juin</w:t>
      </w:r>
      <w:r>
        <w:t> : le</w:t>
      </w:r>
      <w:r>
        <w:rPr>
          <w:b/>
        </w:rPr>
        <w:t xml:space="preserve"> guide de passation</w:t>
      </w:r>
      <w:r>
        <w:t xml:space="preserve">, qui contient toutes les informations </w:t>
      </w:r>
      <w:r>
        <w:t>nécessaires à la passation de l’épreuve de mathématiques ;</w:t>
      </w:r>
    </w:p>
    <w:p w:rsidR="007C6002" w:rsidRDefault="00994FCA">
      <w:pPr>
        <w:pStyle w:val="Listepuces"/>
      </w:pPr>
      <w:r>
        <w:rPr>
          <w:b/>
        </w:rPr>
        <w:t>le matin de l’épreuve à 7 h</w:t>
      </w:r>
      <w:r>
        <w:t>, le fichier PDF de la version 2 (Arial 14) électronique ;</w:t>
      </w:r>
    </w:p>
    <w:p w:rsidR="007C6002" w:rsidRDefault="00994FCA">
      <w:pPr>
        <w:pStyle w:val="Listepuces"/>
      </w:pPr>
      <w:r>
        <w:rPr>
          <w:b/>
        </w:rPr>
        <w:t>le jour de l’épreuve à 12 h</w:t>
      </w:r>
      <w:r>
        <w:t xml:space="preserve">, le </w:t>
      </w:r>
      <w:r>
        <w:rPr>
          <w:b/>
        </w:rPr>
        <w:t>guide de correction</w:t>
      </w:r>
      <w:r>
        <w:t>, qui contient les instructions de correction des copies, d’</w:t>
      </w:r>
      <w:r>
        <w:t>encodage des points et de transmission des résultats.</w:t>
      </w:r>
    </w:p>
    <w:p w:rsidR="007C6002" w:rsidRDefault="00994FCA">
      <w:r>
        <w:t xml:space="preserve">Ces documents, tout comme les informations contenues dans les grilles d’encodage, restent </w:t>
      </w:r>
      <w:r>
        <w:rPr>
          <w:b/>
        </w:rPr>
        <w:t>confidentiels</w:t>
      </w:r>
      <w:r>
        <w:t xml:space="preserve"> jusqu’à la passation de l’épreuve.</w:t>
      </w:r>
    </w:p>
    <w:p w:rsidR="007C6002" w:rsidRDefault="00994FCA">
      <w:pPr>
        <w:pStyle w:val="Titre1"/>
      </w:pPr>
      <w:bookmarkStart w:id="1" w:name="_Ref95391323"/>
      <w:r>
        <w:t>Modalités de réussite</w:t>
      </w:r>
      <w:bookmarkEnd w:id="1"/>
    </w:p>
    <w:p w:rsidR="007C6002" w:rsidRDefault="00994FCA">
      <w:pPr>
        <w:pStyle w:val="FirstParagraph"/>
      </w:pPr>
      <w:r>
        <w:t>Le seuil de réussite est fixé à 50 % pour</w:t>
      </w:r>
      <w:r>
        <w:t xml:space="preserve"> cette épreuve.</w:t>
      </w:r>
    </w:p>
    <w:p w:rsidR="007C6002" w:rsidRDefault="00994FCA">
      <w:r>
        <w:t xml:space="preserve">En cas de réussite à une épreuve, le conseil de classe doit </w:t>
      </w:r>
      <w:r>
        <w:rPr>
          <w:b/>
        </w:rPr>
        <w:t>obligatoirement</w:t>
      </w:r>
      <w:r>
        <w:t xml:space="preserve"> considérer que l’élève a atteint la maitrise des </w:t>
      </w:r>
      <w:r>
        <w:rPr>
          <w:i/>
        </w:rPr>
        <w:t>Socles de compétences</w:t>
      </w:r>
      <w:r>
        <w:t xml:space="preserve"> pour la discipline concernée.</w:t>
      </w:r>
    </w:p>
    <w:p w:rsidR="007C6002" w:rsidRDefault="00994FCA">
      <w:r>
        <w:t>Le conseil de classe peut estimer que l’élève qui n’a pas satis</w:t>
      </w:r>
      <w:r>
        <w:t>fait ou qui n’a pas pu participer en tout ou en partie aux épreuves externes communes certificatives maitrise les compétences attendues pour autant que l’absence ou les absences soient justifiées</w:t>
      </w:r>
      <w:r>
        <w:rPr>
          <w:vertAlign w:val="superscript"/>
        </w:rPr>
        <w:footnoteReference w:id="1"/>
      </w:r>
      <w:r>
        <w:t>. Le conseil de classe prend en compte les besoins spécifiqu</w:t>
      </w:r>
      <w:r>
        <w:t>es de l’élève comme expliqué ci-dessous.</w:t>
      </w:r>
    </w:p>
    <w:p w:rsidR="007C6002" w:rsidRDefault="00994FCA">
      <w:r>
        <w:t>Le conseil de classe fonde alors sa décision sur un dossier comportant :</w:t>
      </w:r>
    </w:p>
    <w:p w:rsidR="007C6002" w:rsidRDefault="00994FCA">
      <w:pPr>
        <w:pStyle w:val="Listepuces"/>
      </w:pPr>
      <w:r>
        <w:t>la copie des bulletins des deux ou trois années suivies au 1</w:t>
      </w:r>
      <w:r>
        <w:rPr>
          <w:vertAlign w:val="superscript"/>
        </w:rPr>
        <w:t>er</w:t>
      </w:r>
      <w:r>
        <w:t xml:space="preserve"> degré ;</w:t>
      </w:r>
    </w:p>
    <w:p w:rsidR="007C6002" w:rsidRDefault="00994FCA">
      <w:pPr>
        <w:pStyle w:val="Listepuces"/>
      </w:pPr>
      <w:r>
        <w:t xml:space="preserve">un rapport circonstancié du ou des enseignant(s) titulaire(s) de la ou </w:t>
      </w:r>
      <w:r>
        <w:t>des discipline(s) concernée(s) ;</w:t>
      </w:r>
    </w:p>
    <w:p w:rsidR="007C6002" w:rsidRDefault="00994FCA">
      <w:pPr>
        <w:pStyle w:val="Listepuces"/>
      </w:pPr>
      <w:r>
        <w:t>le cas échéant, le PIA de l’élève et les documents y afférents ;</w:t>
      </w:r>
    </w:p>
    <w:p w:rsidR="007C6002" w:rsidRDefault="00994FCA">
      <w:pPr>
        <w:pStyle w:val="Listepuces"/>
      </w:pPr>
      <w:r>
        <w:t>tout autre élément que le conseil de classe estime utile, comme le protocole d’aménagements raisonnables, le protocole d’intégration ou le PIA. Le cas échéant</w:t>
      </w:r>
      <w:r>
        <w:t xml:space="preserve">, l’enseignant concerné analyse l’épreuve et prend en compte les questions non réussies en raison du/des trouble(s). Les feuilles « Analyse » et « Bilan » des grilles d’encodage peuvent l’y aider. Lors des délibérations du conseil de classe, cette analyse </w:t>
      </w:r>
      <w:r>
        <w:t>est exploitée pour prendre la décision la plus appropriée pour chaque élève en situation d’échec.</w:t>
      </w:r>
    </w:p>
    <w:p w:rsidR="007C6002" w:rsidRDefault="00994FCA">
      <w:r>
        <w:t>Lorsqu’un élève fréquente l’enseignement secondaire organisé par Wallonie-Bruxelles Enseignement, ou subventionné par la Communauté française, depuis moins de</w:t>
      </w:r>
      <w:r>
        <w:t xml:space="preserve"> deux années scolaires, la copie des bulletins d’une seule année scolaire peut suffire.</w:t>
      </w:r>
    </w:p>
    <w:p w:rsidR="007C6002" w:rsidRDefault="00994FCA">
      <w:pPr>
        <w:rPr>
          <w:rFonts w:eastAsia="Calibri"/>
          <w:bCs/>
          <w:color w:val="000000"/>
        </w:rPr>
      </w:pPr>
      <w:r>
        <w:t xml:space="preserve">Le </w:t>
      </w:r>
      <w:r>
        <w:rPr>
          <w:b/>
          <w:bCs/>
        </w:rPr>
        <w:t>conseil de classe</w:t>
      </w:r>
      <w:r>
        <w:t xml:space="preserve"> octroie le certificat d’études du premier degré de l’enseignement secondaire (CE1D) aux élèves jugés compétents dans toutes les disciplines de l’an</w:t>
      </w:r>
      <w:r>
        <w:t>née. Ceci couvre aussi bien les épreuves externes communes (mathématiques, sciences, français, langues modernes) que les épreuves internes.</w:t>
      </w:r>
      <w:bookmarkStart w:id="2" w:name="_Toc504983194"/>
      <w:bookmarkEnd w:id="2"/>
    </w:p>
    <w:p w:rsidR="007C6002" w:rsidRDefault="00994FCA">
      <w:pPr>
        <w:pStyle w:val="Titre1"/>
      </w:pPr>
      <w:r>
        <w:lastRenderedPageBreak/>
        <w:t>Aménagement raisonnable des épreuves externes communes et des conditions de passation pour les élèves à besoins spéc</w:t>
      </w:r>
      <w:r>
        <w:t>ifiques</w:t>
      </w:r>
    </w:p>
    <w:p w:rsidR="007C6002" w:rsidRDefault="00994FCA">
      <w:pPr>
        <w:pStyle w:val="Corpsdetexte"/>
      </w:pPr>
      <w:r>
        <w:t xml:space="preserve">Les élèves qui présentent des </w:t>
      </w:r>
      <w:r>
        <w:rPr>
          <w:b/>
          <w:bCs/>
        </w:rPr>
        <w:t>besoins spécifiques</w:t>
      </w:r>
      <w:r>
        <w:t xml:space="preserve"> doivent pouvoir bénéficier d’aménagements raisonnables lors des</w:t>
      </w:r>
      <w:r>
        <w:rPr>
          <w:b/>
          <w:bCs/>
        </w:rPr>
        <w:t xml:space="preserve"> épreuves externes</w:t>
      </w:r>
      <w:r>
        <w:t xml:space="preserve"> selon des modalités particulières.</w:t>
      </w:r>
    </w:p>
    <w:p w:rsidR="007C6002" w:rsidRDefault="00994FCA">
      <w:pPr>
        <w:pStyle w:val="Corpsdetexte"/>
      </w:pPr>
      <w:r>
        <w:t>Ces modalités particulières peuvent consister en :</w:t>
      </w:r>
    </w:p>
    <w:p w:rsidR="007C6002" w:rsidRDefault="00994FCA">
      <w:pPr>
        <w:pStyle w:val="Listepuces"/>
      </w:pPr>
      <w:r>
        <w:t xml:space="preserve">l’aménagement des </w:t>
      </w:r>
      <w:r>
        <w:rPr>
          <w:b/>
          <w:bCs/>
        </w:rPr>
        <w:t>conditions d</w:t>
      </w:r>
      <w:r>
        <w:rPr>
          <w:b/>
          <w:bCs/>
        </w:rPr>
        <w:t>e passation</w:t>
      </w:r>
      <w:r>
        <w:t> ;</w:t>
      </w:r>
    </w:p>
    <w:p w:rsidR="007C6002" w:rsidRDefault="00994FCA">
      <w:pPr>
        <w:pStyle w:val="Listepuces"/>
      </w:pPr>
      <w:r>
        <w:t xml:space="preserve">une adaptation de la </w:t>
      </w:r>
      <w:r>
        <w:rPr>
          <w:b/>
        </w:rPr>
        <w:t>présentation de l’épreuve</w:t>
      </w:r>
      <w:r>
        <w:t>.</w:t>
      </w:r>
    </w:p>
    <w:p w:rsidR="007C6002" w:rsidRDefault="00994FCA">
      <w:r>
        <w:t>Ces aménagements et les conditions de leur mise en application sont détaillés au point F de la circulaire d’organisation.</w:t>
      </w:r>
    </w:p>
    <w:sectPr w:rsidR="007C60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134" w:bottom="851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002" w:rsidRDefault="00994FCA">
      <w:r>
        <w:separator/>
      </w:r>
    </w:p>
    <w:p w:rsidR="007C6002" w:rsidRDefault="007C6002"/>
  </w:endnote>
  <w:endnote w:type="continuationSeparator" w:id="0">
    <w:p w:rsidR="007C6002" w:rsidRDefault="00994FCA">
      <w:r>
        <w:continuationSeparator/>
      </w:r>
    </w:p>
    <w:p w:rsidR="007C6002" w:rsidRDefault="007C6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002" w:rsidRDefault="007C600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002" w:rsidRDefault="00994FCA">
    <w:pPr>
      <w:pStyle w:val="Pieddepage"/>
      <w:jc w:val="right"/>
    </w:pPr>
    <w:r>
      <w:rPr>
        <w:rFonts w:eastAsiaTheme="minorHAnsi"/>
        <w:lang w:val="fr-BE" w:eastAsia="en-US"/>
      </w:rPr>
      <w:t xml:space="preserve">Circulaire CE1D-CESS 2024 – </w:t>
    </w:r>
    <w:r>
      <w:rPr>
        <w:rFonts w:eastAsiaTheme="minorHAnsi"/>
        <w:b/>
        <w:lang w:val="fr-BE" w:eastAsia="en-US"/>
      </w:rPr>
      <w:t xml:space="preserve">ANNEXE B </w:t>
    </w:r>
    <w:r>
      <w:rPr>
        <w:rFonts w:eastAsiaTheme="minorHAnsi"/>
        <w:lang w:val="fr-BE" w:eastAsia="en-US"/>
      </w:rPr>
      <w:t>–</w:t>
    </w:r>
    <w:r>
      <w:t xml:space="preserve"> p.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1180064"/>
      <w:docPartObj>
        <w:docPartGallery w:val="Page Numbers (Bottom of Page)"/>
        <w:docPartUnique/>
      </w:docPartObj>
    </w:sdtPr>
    <w:sdtEndPr/>
    <w:sdtContent>
      <w:p w:rsidR="007C6002" w:rsidRDefault="00994FC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C6002" w:rsidRDefault="00994FCA">
    <w:pPr>
      <w:pStyle w:val="Pieddepage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002" w:rsidRDefault="00994FCA">
      <w:r>
        <w:separator/>
      </w:r>
    </w:p>
  </w:footnote>
  <w:footnote w:type="continuationSeparator" w:id="0">
    <w:p w:rsidR="007C6002" w:rsidRDefault="00994FCA">
      <w:r>
        <w:continuationSeparator/>
      </w:r>
    </w:p>
    <w:p w:rsidR="007C6002" w:rsidRDefault="007C6002"/>
  </w:footnote>
  <w:footnote w:id="1">
    <w:p w:rsidR="007C6002" w:rsidRDefault="00994FCA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</w:rPr>
        <w:t>Conformément à l’article 4, § 1</w:t>
      </w:r>
      <w:r>
        <w:rPr>
          <w:sz w:val="18"/>
          <w:szCs w:val="18"/>
          <w:vertAlign w:val="superscript"/>
        </w:rPr>
        <w:t>er</w:t>
      </w:r>
      <w:r>
        <w:rPr>
          <w:sz w:val="18"/>
          <w:szCs w:val="18"/>
        </w:rPr>
        <w:t xml:space="preserve">, 1° à 5° et § 3 de l’arrêté du Gouvernement de la </w:t>
      </w:r>
      <w:r>
        <w:rPr>
          <w:bCs/>
          <w:sz w:val="18"/>
          <w:szCs w:val="18"/>
        </w:rPr>
        <w:t>Communauté française</w:t>
      </w:r>
      <w:r>
        <w:rPr>
          <w:sz w:val="18"/>
          <w:szCs w:val="18"/>
        </w:rPr>
        <w:t xml:space="preserve"> du 23 novembre 1998 relatif à la fréquentation scolaire.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002" w:rsidRDefault="007C600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002" w:rsidRDefault="007C600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002" w:rsidRDefault="00994FCA">
    <w:pPr>
      <w:tabs>
        <w:tab w:val="right" w:pos="9695"/>
      </w:tabs>
      <w:jc w:val="right"/>
      <w:rPr>
        <w:rFonts w:eastAsiaTheme="minorHAnsi"/>
        <w:lang w:val="fr-BE" w:eastAsia="en-US"/>
      </w:rPr>
    </w:pPr>
    <w:r>
      <w:rPr>
        <w:noProof/>
        <w:lang w:val="fr-BE"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-217285</wp:posOffset>
          </wp:positionV>
          <wp:extent cx="2886911" cy="609600"/>
          <wp:effectExtent l="0" t="0" r="8890" b="0"/>
          <wp:wrapNone/>
          <wp:docPr id="3" name="Image 3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4458" cy="611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Theme="minorHAnsi"/>
        <w:lang w:val="fr-BE" w:eastAsia="en-US"/>
      </w:rPr>
      <w:tab/>
    </w:r>
    <w:r>
      <w:t xml:space="preserve">Circulaire CE1D-CESS 2024 </w:t>
    </w:r>
    <w:r>
      <w:rPr>
        <w:rFonts w:eastAsiaTheme="minorHAnsi"/>
        <w:lang w:val="fr-BE" w:eastAsia="en-US"/>
      </w:rPr>
      <w:t>–</w:t>
    </w:r>
    <w:r>
      <w:t xml:space="preserve"> </w:t>
    </w:r>
    <w:r>
      <w:rPr>
        <w:rFonts w:eastAsiaTheme="minorHAnsi"/>
        <w:b/>
        <w:lang w:val="fr-BE" w:eastAsia="en-US"/>
      </w:rPr>
      <w:t>ANNEXE B</w:t>
    </w:r>
  </w:p>
  <w:p w:rsidR="007C6002" w:rsidRDefault="007C6002">
    <w:pPr>
      <w:rPr>
        <w:rFonts w:eastAsiaTheme="minorHAnsi"/>
        <w:lang w:val="fr-BE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DDA"/>
    <w:multiLevelType w:val="multilevel"/>
    <w:tmpl w:val="BE928762"/>
    <w:numStyleLink w:val="Style2"/>
  </w:abstractNum>
  <w:abstractNum w:abstractNumId="4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73057A"/>
    <w:multiLevelType w:val="hybridMultilevel"/>
    <w:tmpl w:val="935007B0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EAED488">
      <w:numFmt w:val="bullet"/>
      <w:lvlText w:val="-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2" w:tplc="08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7268D"/>
    <w:multiLevelType w:val="multilevel"/>
    <w:tmpl w:val="2FEA8F42"/>
    <w:lvl w:ilvl="0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366"/>
        </w:tabs>
        <w:ind w:left="1366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6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B4A02"/>
    <w:multiLevelType w:val="hybridMultilevel"/>
    <w:tmpl w:val="E474B1EE"/>
    <w:lvl w:ilvl="0" w:tplc="AE72E7F8">
      <w:start w:val="1"/>
      <w:numFmt w:val="upperLetter"/>
      <w:pStyle w:val="Titre1"/>
      <w:lvlText w:val="%1."/>
      <w:lvlJc w:val="left"/>
      <w:pPr>
        <w:ind w:left="720" w:hanging="360"/>
      </w:pPr>
      <w:rPr>
        <w:rFonts w:hint="default"/>
        <w:sz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7FD96996"/>
    <w:multiLevelType w:val="hybridMultilevel"/>
    <w:tmpl w:val="DAEC1F9C"/>
    <w:lvl w:ilvl="0" w:tplc="FD9AC46A">
      <w:start w:val="1"/>
      <w:numFmt w:val="upperLetter"/>
      <w:pStyle w:val="Titre2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10"/>
  </w:num>
  <w:num w:numId="4">
    <w:abstractNumId w:val="17"/>
  </w:num>
  <w:num w:numId="5">
    <w:abstractNumId w:val="18"/>
  </w:num>
  <w:num w:numId="6">
    <w:abstractNumId w:val="4"/>
  </w:num>
  <w:num w:numId="7">
    <w:abstractNumId w:val="14"/>
  </w:num>
  <w:num w:numId="8">
    <w:abstractNumId w:val="0"/>
  </w:num>
  <w:num w:numId="9">
    <w:abstractNumId w:val="13"/>
  </w:num>
  <w:num w:numId="10">
    <w:abstractNumId w:val="1"/>
  </w:num>
  <w:num w:numId="11">
    <w:abstractNumId w:val="20"/>
  </w:num>
  <w:num w:numId="12">
    <w:abstractNumId w:val="1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15"/>
  </w:num>
  <w:num w:numId="19">
    <w:abstractNumId w:val="18"/>
  </w:num>
  <w:num w:numId="20">
    <w:abstractNumId w:val="21"/>
  </w:num>
  <w:num w:numId="21">
    <w:abstractNumId w:val="19"/>
  </w:num>
  <w:num w:numId="22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02"/>
    <w:rsid w:val="007C6002"/>
    <w:rsid w:val="0099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5:chartTrackingRefBased/>
  <w15:docId w15:val="{D3541E93-760D-4406-8BA8-6AE6719E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jc w:val="both"/>
    </w:pPr>
    <w:rPr>
      <w:rFonts w:ascii="Arial" w:hAnsi="Arial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pPr>
      <w:keepNext/>
      <w:numPr>
        <w:numId w:val="21"/>
      </w:numPr>
      <w:spacing w:before="480" w:after="360"/>
      <w:outlineLvl w:val="0"/>
    </w:pPr>
    <w:rPr>
      <w:b/>
      <w:bCs/>
      <w:kern w:val="32"/>
      <w:sz w:val="24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pPr>
      <w:keepNext/>
      <w:numPr>
        <w:numId w:val="20"/>
      </w:numPr>
      <w:spacing w:before="240" w:after="240"/>
      <w:ind w:left="851" w:hanging="284"/>
      <w:jc w:val="left"/>
      <w:outlineLvl w:val="1"/>
    </w:pPr>
    <w:rPr>
      <w:rFonts w:cs="Arial"/>
      <w:b/>
      <w:bCs/>
      <w:iCs/>
      <w:sz w:val="24"/>
      <w:szCs w:val="22"/>
      <w:lang w:val="fr-BE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autoSpaceDE w:val="0"/>
      <w:autoSpaceDN w:val="0"/>
      <w:adjustRightInd w:val="0"/>
      <w:spacing w:before="240" w:after="240"/>
      <w:outlineLvl w:val="2"/>
    </w:pPr>
    <w:rPr>
      <w:rFonts w:eastAsia="Calibri" w:cs="Calibri"/>
      <w:b/>
      <w:szCs w:val="22"/>
      <w:u w:color="000000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aliases w:val="Intertitre 3"/>
    <w:basedOn w:val="Normal"/>
    <w:next w:val="Normal"/>
    <w:link w:val="Titre7C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Notedebasdepage">
    <w:name w:val="footnote text"/>
    <w:basedOn w:val="Normal"/>
    <w:link w:val="NotedebasdepageCar"/>
    <w:uiPriority w:val="99"/>
    <w:rPr>
      <w:szCs w:val="20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customStyle="1" w:styleId="Listemoyenne2-Accent41">
    <w:name w:val="Liste moyenne 2 - Accent 41"/>
    <w:basedOn w:val="Normal"/>
    <w:uiPriority w:val="34"/>
    <w:qFormat/>
    <w:pPr>
      <w:ind w:left="708"/>
    </w:pPr>
  </w:style>
  <w:style w:type="character" w:customStyle="1" w:styleId="Titre1Car">
    <w:name w:val="Titre 1 Car"/>
    <w:link w:val="Titre1"/>
    <w:uiPriority w:val="9"/>
    <w:rPr>
      <w:rFonts w:ascii="Arial" w:hAnsi="Arial"/>
      <w:b/>
      <w:bCs/>
      <w:kern w:val="32"/>
      <w:sz w:val="24"/>
      <w:szCs w:val="32"/>
      <w:u w:val="single"/>
      <w:lang w:val="fr-FR" w:eastAsia="fr-FR"/>
    </w:rPr>
  </w:style>
  <w:style w:type="character" w:customStyle="1" w:styleId="Titre2Car">
    <w:name w:val="Titre 2 Car"/>
    <w:link w:val="Titre2"/>
    <w:uiPriority w:val="9"/>
    <w:rPr>
      <w:rFonts w:ascii="Arial" w:hAnsi="Arial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aliases w:val="Intertitre 3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ind w:firstLine="567"/>
    </w:pPr>
    <w:rPr>
      <w:szCs w:val="22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ind w:left="708"/>
    </w:pPr>
  </w:style>
  <w:style w:type="paragraph" w:customStyle="1" w:styleId="Grilleclaire-Accent31">
    <w:name w:val="Grille claire - Accent 31"/>
    <w:basedOn w:val="Normal"/>
    <w:uiPriority w:val="34"/>
    <w:qFormat/>
    <w:pPr>
      <w:ind w:left="708"/>
    </w:p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</w:pPr>
    <w:rPr>
      <w:rFonts w:eastAsia="Calibri"/>
      <w:szCs w:val="22"/>
      <w:lang w:val="fr-BE" w:eastAsia="en-US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/>
      <w:ind w:left="240"/>
    </w:pPr>
    <w:rPr>
      <w:b/>
      <w:bCs/>
      <w:szCs w:val="22"/>
    </w:rPr>
  </w:style>
  <w:style w:type="paragraph" w:styleId="TM1">
    <w:name w:val="toc 1"/>
    <w:basedOn w:val="Normal"/>
    <w:next w:val="Normal"/>
    <w:autoRedefine/>
    <w:uiPriority w:val="39"/>
    <w:pPr>
      <w:spacing w:before="120"/>
    </w:pPr>
    <w:rPr>
      <w:b/>
      <w:bCs/>
      <w:i/>
      <w:iCs/>
    </w:rPr>
  </w:style>
  <w:style w:type="paragraph" w:styleId="TM3">
    <w:name w:val="toc 3"/>
    <w:basedOn w:val="Normal"/>
    <w:next w:val="Normal"/>
    <w:autoRedefine/>
    <w:uiPriority w:val="39"/>
    <w:pPr>
      <w:ind w:left="480"/>
    </w:pPr>
    <w:rPr>
      <w:szCs w:val="20"/>
    </w:rPr>
  </w:style>
  <w:style w:type="paragraph" w:styleId="TM4">
    <w:name w:val="toc 4"/>
    <w:basedOn w:val="Normal"/>
    <w:next w:val="Normal"/>
    <w:autoRedefine/>
    <w:uiPriority w:val="39"/>
    <w:pPr>
      <w:ind w:left="720"/>
    </w:pPr>
    <w:rPr>
      <w:szCs w:val="20"/>
    </w:r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szCs w:val="20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szCs w:val="20"/>
    </w:rPr>
  </w:style>
  <w:style w:type="paragraph" w:styleId="TM7">
    <w:name w:val="toc 7"/>
    <w:basedOn w:val="Normal"/>
    <w:next w:val="Normal"/>
    <w:autoRedefine/>
    <w:uiPriority w:val="39"/>
    <w:pPr>
      <w:ind w:left="1440"/>
    </w:pPr>
    <w:rPr>
      <w:szCs w:val="20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szCs w:val="20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szCs w:val="20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aliases w:val="Bullet 1,Liste Niveau 1"/>
    <w:basedOn w:val="Normal"/>
    <w:link w:val="ParagraphedelisteCar"/>
    <w:uiPriority w:val="34"/>
    <w:qFormat/>
    <w:pPr>
      <w:widowControl w:val="0"/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/>
      <w:ind w:left="1356" w:hanging="647"/>
    </w:pPr>
    <w:rPr>
      <w:rFonts w:eastAsia="Calibri" w:cs="Calibri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/>
      <w:ind w:left="709" w:hanging="357"/>
      <w:contextualSpacing/>
    </w:pPr>
    <w:rPr>
      <w:rFonts w:eastAsia="Calibri" w:cs="Calibri"/>
      <w:color w:val="000000"/>
      <w:szCs w:val="22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pPr>
      <w:spacing w:after="360" w:line="240" w:lineRule="auto"/>
      <w:contextualSpacing/>
      <w:jc w:val="center"/>
    </w:pPr>
    <w:rPr>
      <w:rFonts w:asciiTheme="minorHAnsi" w:eastAsiaTheme="majorEastAsia" w:hAnsiTheme="minorHAnsi" w:cstheme="minorHAnsi"/>
      <w:spacing w:val="-10"/>
      <w:kern w:val="28"/>
      <w:sz w:val="56"/>
      <w:szCs w:val="56"/>
      <w:lang w:val="fr-BE"/>
    </w:rPr>
  </w:style>
  <w:style w:type="character" w:customStyle="1" w:styleId="TitreCar">
    <w:name w:val="Titre Car"/>
    <w:basedOn w:val="Policepardfaut"/>
    <w:link w:val="Titre"/>
    <w:rPr>
      <w:rFonts w:asciiTheme="minorHAnsi" w:eastAsiaTheme="majorEastAsia" w:hAnsiTheme="minorHAnsi" w:cstheme="minorHAnsi"/>
      <w:spacing w:val="-10"/>
      <w:kern w:val="28"/>
      <w:sz w:val="56"/>
      <w:szCs w:val="56"/>
      <w:lang w:eastAsia="fr-FR"/>
    </w:rPr>
  </w:style>
  <w:style w:type="paragraph" w:customStyle="1" w:styleId="Encadrcovid">
    <w:name w:val="Encadré covid"/>
    <w:basedOn w:val="Normal"/>
    <w:link w:val="EncadrcovidCar"/>
    <w:qFormat/>
    <w:pPr>
      <w:pBdr>
        <w:top w:val="single" w:sz="4" w:space="1" w:color="C00000"/>
        <w:left w:val="single" w:sz="4" w:space="4" w:color="C00000"/>
        <w:bottom w:val="single" w:sz="4" w:space="1" w:color="C00000"/>
        <w:right w:val="single" w:sz="4" w:space="4" w:color="C00000"/>
      </w:pBdr>
      <w:shd w:val="solid" w:color="FFCCCC" w:fill="auto"/>
      <w:spacing w:before="180" w:after="180"/>
      <w:ind w:left="567" w:right="567"/>
      <w:jc w:val="left"/>
    </w:pPr>
    <w:rPr>
      <w:bCs/>
    </w:rPr>
  </w:style>
  <w:style w:type="character" w:customStyle="1" w:styleId="EncadrcovidCar">
    <w:name w:val="Encadré covid Car"/>
    <w:basedOn w:val="Policepardfaut"/>
    <w:link w:val="Encadrcovid"/>
    <w:rPr>
      <w:rFonts w:ascii="Calibri" w:hAnsi="Calibri"/>
      <w:bCs/>
      <w:sz w:val="22"/>
      <w:szCs w:val="24"/>
      <w:shd w:val="solid" w:color="FFCCCC" w:fill="auto"/>
      <w:lang w:val="fr-FR" w:eastAsia="fr-FR"/>
    </w:rPr>
  </w:style>
  <w:style w:type="paragraph" w:styleId="Corpsdetexte">
    <w:name w:val="Body Text"/>
    <w:basedOn w:val="Normal"/>
    <w:link w:val="CorpsdetexteCar"/>
    <w:qFormat/>
  </w:style>
  <w:style w:type="character" w:customStyle="1" w:styleId="CorpsdetexteCar">
    <w:name w:val="Corps de texte Car"/>
    <w:basedOn w:val="Policepardfaut"/>
    <w:link w:val="Corpsdetexte"/>
    <w:rPr>
      <w:rFonts w:ascii="Calibri" w:hAnsi="Calibri"/>
      <w:sz w:val="22"/>
      <w:szCs w:val="24"/>
      <w:lang w:val="fr-FR" w:eastAsia="fr-FR"/>
    </w:rPr>
  </w:style>
  <w:style w:type="paragraph" w:customStyle="1" w:styleId="FirstParagraph">
    <w:name w:val="First Paragraph"/>
    <w:basedOn w:val="Corpsdetexte"/>
    <w:next w:val="Corpsdetexte"/>
    <w:link w:val="FirstParagraphCar"/>
    <w:qFormat/>
    <w:pPr>
      <w:spacing w:before="180" w:after="180"/>
    </w:pPr>
  </w:style>
  <w:style w:type="character" w:customStyle="1" w:styleId="FirstParagraphCar">
    <w:name w:val="First Paragraph Car"/>
    <w:basedOn w:val="CorpsdetexteCar"/>
    <w:link w:val="FirstParagraph"/>
    <w:rPr>
      <w:rFonts w:ascii="Arial" w:hAnsi="Arial"/>
      <w:sz w:val="22"/>
      <w:szCs w:val="24"/>
      <w:lang w:val="fr-FR" w:eastAsia="fr-FR"/>
    </w:rPr>
  </w:style>
  <w:style w:type="paragraph" w:customStyle="1" w:styleId="Encadrinformation">
    <w:name w:val="Encadré information"/>
    <w:basedOn w:val="Normal"/>
    <w:link w:val="EncadrinformationCar"/>
    <w:qFormat/>
    <w:pPr>
      <w:pBdr>
        <w:top w:val="single" w:sz="4" w:space="1" w:color="5B9BD5" w:themeColor="accent1"/>
        <w:left w:val="single" w:sz="4" w:space="4" w:color="5B9BD5" w:themeColor="accent1"/>
        <w:bottom w:val="single" w:sz="4" w:space="1" w:color="5B9BD5" w:themeColor="accent1"/>
        <w:right w:val="single" w:sz="4" w:space="4" w:color="5B9BD5" w:themeColor="accent1"/>
      </w:pBdr>
      <w:shd w:val="solid" w:color="E3F1FD" w:fill="auto"/>
      <w:spacing w:before="180" w:after="180"/>
      <w:ind w:left="567" w:right="567"/>
      <w:jc w:val="left"/>
    </w:pPr>
    <w:rPr>
      <w:bCs/>
    </w:rPr>
  </w:style>
  <w:style w:type="character" w:customStyle="1" w:styleId="EncadrinformationCar">
    <w:name w:val="Encadré information Car"/>
    <w:basedOn w:val="Policepardfaut"/>
    <w:link w:val="Encadrinformation"/>
    <w:rPr>
      <w:rFonts w:ascii="Calibri" w:hAnsi="Calibri"/>
      <w:bCs/>
      <w:sz w:val="22"/>
      <w:szCs w:val="24"/>
      <w:shd w:val="solid" w:color="E3F1FD" w:fill="auto"/>
      <w:lang w:val="fr-FR" w:eastAsia="fr-FR"/>
    </w:rPr>
  </w:style>
  <w:style w:type="paragraph" w:styleId="Sous-titre">
    <w:name w:val="Subtitle"/>
    <w:basedOn w:val="Normal"/>
    <w:next w:val="Normal"/>
    <w:link w:val="Sous-titreCar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fr-FR" w:eastAsia="fr-FR"/>
    </w:rPr>
  </w:style>
  <w:style w:type="character" w:customStyle="1" w:styleId="ParagraphedelisteCar">
    <w:name w:val="Paragraphe de liste Car"/>
    <w:aliases w:val="Bullet 1 Car,Liste Niveau 1 Car"/>
    <w:basedOn w:val="Policepardfaut"/>
    <w:link w:val="Paragraphedeliste"/>
    <w:uiPriority w:val="34"/>
    <w:qFormat/>
    <w:locked/>
    <w:rPr>
      <w:rFonts w:ascii="Arial" w:eastAsia="Calibri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ce1d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e-classe.be/api/v1/resource/contents/eclasse9078_63ef482586e5c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SEE\01_Dossiers%20transversaux\03_Documents%20administratifs\Circulaires\Mod&#232;le_circulaire_DSE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CC2D6-29F8-4BE4-8271-68B753DE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Modèle_circulaire_DSEE.dotx</Template>
  <TotalTime>108</TotalTime>
  <Pages>4</Pages>
  <Words>1121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7237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DI EMIDIO Samuël</cp:lastModifiedBy>
  <cp:revision>20</cp:revision>
  <cp:lastPrinted>2020-02-06T12:38:00Z</cp:lastPrinted>
  <dcterms:created xsi:type="dcterms:W3CDTF">2024-01-29T13:11:00Z</dcterms:created>
  <dcterms:modified xsi:type="dcterms:W3CDTF">2024-02-27T08:29:00Z</dcterms:modified>
</cp:coreProperties>
</file>